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39DD" w14:textId="12AACC71" w:rsidR="0041619C" w:rsidRPr="00877900" w:rsidRDefault="00877900" w:rsidP="0041619C">
      <w:pPr>
        <w:spacing w:after="0" w:line="259" w:lineRule="auto"/>
        <w:ind w:left="0" w:right="0" w:firstLine="0"/>
        <w:jc w:val="left"/>
        <w:rPr>
          <w:bCs/>
          <w:i/>
          <w:iCs/>
          <w:sz w:val="32"/>
          <w:szCs w:val="24"/>
          <w:u w:color="000000"/>
        </w:rPr>
      </w:pPr>
      <w:r w:rsidRPr="00877900">
        <w:rPr>
          <w:b/>
          <w:noProof/>
          <w:sz w:val="32"/>
          <w:szCs w:val="24"/>
          <w:u w:color="000000"/>
          <w14:ligatures w14:val="standardContextual"/>
        </w:rPr>
        <w:drawing>
          <wp:anchor distT="0" distB="0" distL="114300" distR="114300" simplePos="0" relativeHeight="251659264" behindDoc="1" locked="0" layoutInCell="1" allowOverlap="1" wp14:anchorId="7E5AD198" wp14:editId="28D76399">
            <wp:simplePos x="0" y="0"/>
            <wp:positionH relativeFrom="margin">
              <wp:align>left</wp:align>
            </wp:positionH>
            <wp:positionV relativeFrom="paragraph">
              <wp:posOffset>123825</wp:posOffset>
            </wp:positionV>
            <wp:extent cx="3703955" cy="695325"/>
            <wp:effectExtent l="0" t="0" r="0" b="9525"/>
            <wp:wrapTight wrapText="bothSides">
              <wp:wrapPolygon edited="0">
                <wp:start x="0" y="0"/>
                <wp:lineTo x="0" y="21304"/>
                <wp:lineTo x="21441" y="21304"/>
                <wp:lineTo x="21441" y="0"/>
                <wp:lineTo x="0" y="0"/>
              </wp:wrapPolygon>
            </wp:wrapTight>
            <wp:docPr id="1083201668" name="Picture 1" descr="A red letter u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01668" name="Picture 1" descr="A red letter u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3955" cy="695325"/>
                    </a:xfrm>
                    <a:prstGeom prst="rect">
                      <a:avLst/>
                    </a:prstGeom>
                  </pic:spPr>
                </pic:pic>
              </a:graphicData>
            </a:graphic>
            <wp14:sizeRelH relativeFrom="margin">
              <wp14:pctWidth>0</wp14:pctWidth>
            </wp14:sizeRelH>
            <wp14:sizeRelV relativeFrom="margin">
              <wp14:pctHeight>0</wp14:pctHeight>
            </wp14:sizeRelV>
          </wp:anchor>
        </w:drawing>
      </w:r>
      <w:r w:rsidR="0041619C" w:rsidRPr="00877900">
        <w:rPr>
          <w:b/>
          <w:noProof/>
          <w:sz w:val="32"/>
          <w:szCs w:val="24"/>
          <w:u w:color="000000"/>
        </w:rPr>
        <mc:AlternateContent>
          <mc:Choice Requires="wps">
            <w:drawing>
              <wp:anchor distT="45720" distB="45720" distL="114300" distR="114300" simplePos="0" relativeHeight="251661312" behindDoc="0" locked="0" layoutInCell="1" allowOverlap="1" wp14:anchorId="04EBFAD4" wp14:editId="42BF1794">
                <wp:simplePos x="0" y="0"/>
                <wp:positionH relativeFrom="margin">
                  <wp:align>right</wp:align>
                </wp:positionH>
                <wp:positionV relativeFrom="paragraph">
                  <wp:posOffset>0</wp:posOffset>
                </wp:positionV>
                <wp:extent cx="2847975" cy="102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28700"/>
                        </a:xfrm>
                        <a:prstGeom prst="rect">
                          <a:avLst/>
                        </a:prstGeom>
                        <a:solidFill>
                          <a:srgbClr val="FFFFFF"/>
                        </a:solidFill>
                        <a:ln w="9525">
                          <a:solidFill>
                            <a:srgbClr val="000000"/>
                          </a:solidFill>
                          <a:miter lim="800000"/>
                          <a:headEnd/>
                          <a:tailEnd/>
                        </a:ln>
                      </wps:spPr>
                      <wps:txbx>
                        <w:txbxContent>
                          <w:p w14:paraId="3DFDF8A9" w14:textId="77777777" w:rsidR="0041619C" w:rsidRPr="000A25DA" w:rsidRDefault="0041619C" w:rsidP="0041619C">
                            <w:pPr>
                              <w:ind w:left="435" w:firstLine="0"/>
                              <w:jc w:val="center"/>
                              <w:rPr>
                                <w:b/>
                                <w:bCs/>
                                <w:color w:val="275317" w:themeColor="accent6" w:themeShade="80"/>
                                <w:sz w:val="52"/>
                                <w:szCs w:val="48"/>
                                <w:lang w:val="en-US"/>
                              </w:rPr>
                            </w:pPr>
                            <w:r w:rsidRPr="000A25DA">
                              <w:rPr>
                                <w:b/>
                                <w:bCs/>
                                <w:color w:val="275317" w:themeColor="accent6" w:themeShade="80"/>
                                <w:sz w:val="52"/>
                                <w:szCs w:val="48"/>
                                <w:lang w:val="en-US"/>
                              </w:rPr>
                              <w:t>EDUCATION          TRUST FUND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EBFAD4" id="_x0000_t202" coordsize="21600,21600" o:spt="202" path="m,l,21600r21600,l21600,xe">
                <v:stroke joinstyle="miter"/>
                <v:path gradientshapeok="t" o:connecttype="rect"/>
              </v:shapetype>
              <v:shape id="Text Box 2" o:spid="_x0000_s1026" type="#_x0000_t202" style="position:absolute;margin-left:173.05pt;margin-top:0;width:224.25pt;height:8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">
                <v:textbox>
                  <w:txbxContent>
                    <w:p w14:paraId="3DFDF8A9" w14:textId="77777777" w:rsidR="0041619C" w:rsidRPr="000A25DA" w:rsidRDefault="0041619C" w:rsidP="0041619C">
                      <w:pPr>
                        <w:ind w:left="435" w:firstLine="0"/>
                        <w:jc w:val="center"/>
                        <w:rPr>
                          <w:b/>
                          <w:bCs/>
                          <w:color w:val="275317" w:themeColor="accent6" w:themeShade="80"/>
                          <w:sz w:val="52"/>
                          <w:szCs w:val="48"/>
                          <w:lang w:val="en-US"/>
                        </w:rPr>
                      </w:pPr>
                      <w:r w:rsidRPr="000A25DA">
                        <w:rPr>
                          <w:b/>
                          <w:bCs/>
                          <w:color w:val="275317" w:themeColor="accent6" w:themeShade="80"/>
                          <w:sz w:val="52"/>
                          <w:szCs w:val="48"/>
                          <w:lang w:val="en-US"/>
                        </w:rPr>
                        <w:t>EDUCATION          TRUST FUND</w:t>
                      </w:r>
                    </w:p>
                  </w:txbxContent>
                </v:textbox>
                <w10:wrap type="square" anchorx="margin"/>
              </v:shape>
            </w:pict>
          </mc:Fallback>
        </mc:AlternateContent>
      </w:r>
      <w:r w:rsidR="0041619C" w:rsidRPr="00877900">
        <w:rPr>
          <w:bCs/>
          <w:i/>
          <w:iCs/>
          <w:sz w:val="32"/>
          <w:szCs w:val="24"/>
          <w:u w:color="000000"/>
        </w:rPr>
        <w:t>HEALTH SCIENCES CENTRE</w:t>
      </w:r>
    </w:p>
    <w:p w14:paraId="3E0A4BF1" w14:textId="77777777" w:rsidR="0041619C" w:rsidRPr="000A25DA" w:rsidRDefault="0041619C" w:rsidP="00877900">
      <w:pPr>
        <w:spacing w:after="0" w:line="276" w:lineRule="auto"/>
        <w:ind w:left="0" w:right="0" w:firstLine="0"/>
        <w:jc w:val="left"/>
        <w:rPr>
          <w:bCs/>
          <w:i/>
          <w:iCs/>
          <w:sz w:val="28"/>
          <w:u w:color="000000"/>
        </w:rPr>
      </w:pPr>
    </w:p>
    <w:p w14:paraId="12EF49E2" w14:textId="1162E88D" w:rsidR="0041619C" w:rsidRPr="000A25DA" w:rsidRDefault="0041619C" w:rsidP="00877900">
      <w:pPr>
        <w:pBdr>
          <w:top w:val="single" w:sz="4" w:space="1" w:color="auto"/>
          <w:bottom w:val="single" w:sz="4" w:space="1" w:color="auto"/>
        </w:pBdr>
        <w:spacing w:after="0" w:line="276" w:lineRule="auto"/>
        <w:ind w:left="577" w:right="567"/>
        <w:jc w:val="center"/>
        <w:rPr>
          <w:b/>
          <w:sz w:val="32"/>
          <w:szCs w:val="24"/>
          <w:u w:color="000000"/>
        </w:rPr>
      </w:pPr>
      <w:r>
        <w:rPr>
          <w:b/>
          <w:sz w:val="32"/>
          <w:szCs w:val="24"/>
          <w:u w:color="000000"/>
        </w:rPr>
        <w:t>POLICIES OF THE EDUCATION TRUST FUND</w:t>
      </w:r>
    </w:p>
    <w:p w14:paraId="1041A497" w14:textId="19B8A086" w:rsidR="008A605D" w:rsidRDefault="008A605D" w:rsidP="0041619C">
      <w:pPr>
        <w:ind w:left="0" w:firstLine="0"/>
        <w:rPr>
          <w:b/>
          <w:bCs/>
        </w:rPr>
      </w:pPr>
    </w:p>
    <w:p w14:paraId="4666EDC6" w14:textId="40F89991" w:rsidR="0041619C" w:rsidRDefault="0041619C" w:rsidP="0041619C">
      <w:pPr>
        <w:ind w:left="0" w:firstLine="0"/>
        <w:rPr>
          <w:b/>
          <w:bCs/>
        </w:rPr>
      </w:pPr>
      <w:r>
        <w:rPr>
          <w:b/>
          <w:bCs/>
        </w:rPr>
        <w:t>INVESTMENTS</w:t>
      </w:r>
    </w:p>
    <w:p w14:paraId="4B0167CF" w14:textId="1D762478" w:rsidR="0041619C" w:rsidRDefault="0041619C" w:rsidP="0041619C">
      <w:pPr>
        <w:pStyle w:val="ListParagraph"/>
        <w:numPr>
          <w:ilvl w:val="0"/>
          <w:numId w:val="1"/>
        </w:numPr>
        <w:spacing w:before="80" w:after="120" w:line="276" w:lineRule="auto"/>
        <w:ind w:left="1003" w:right="283"/>
      </w:pPr>
      <w:r>
        <w:t xml:space="preserve">The </w:t>
      </w:r>
      <w:r w:rsidRPr="0041619C">
        <w:t>general principle guiding investment practices will be one of conservative management, maximizing investment returns with minimum risk</w:t>
      </w:r>
    </w:p>
    <w:p w14:paraId="0076ABE1" w14:textId="3D19E99B" w:rsidR="0041619C" w:rsidRPr="0041619C" w:rsidRDefault="0041619C" w:rsidP="0041619C">
      <w:pPr>
        <w:pStyle w:val="ListParagraph"/>
        <w:numPr>
          <w:ilvl w:val="0"/>
          <w:numId w:val="1"/>
        </w:numPr>
        <w:spacing w:before="80" w:after="120" w:line="276" w:lineRule="auto"/>
        <w:ind w:left="1003" w:right="283"/>
      </w:pPr>
      <w:r w:rsidRPr="0041619C">
        <w:t>As per motion passed at the December 11th, 2012, Education Trust Fund meeting, investment portfolio will be switched to reflect a ratio of lower risk to medium risk investments of 60/40.</w:t>
      </w:r>
    </w:p>
    <w:p w14:paraId="63AC8C3C" w14:textId="1BA66733" w:rsidR="0041619C" w:rsidRPr="0041619C" w:rsidRDefault="0041619C" w:rsidP="0041619C">
      <w:pPr>
        <w:pStyle w:val="ListParagraph"/>
        <w:numPr>
          <w:ilvl w:val="0"/>
          <w:numId w:val="1"/>
        </w:numPr>
        <w:spacing w:before="80" w:after="120" w:line="276" w:lineRule="auto"/>
        <w:ind w:left="1003" w:right="283"/>
      </w:pPr>
      <w:r w:rsidRPr="0041619C">
        <w:t>The capital portion of the investment portfolio is to remain at a minimum of $500,000.00.  If disbursement requests would cause the amount to fall below that amount, the Trustees’ actions will be guided by disbursements policy 7.0.</w:t>
      </w:r>
    </w:p>
    <w:p w14:paraId="6D8CCE29" w14:textId="33BC701B" w:rsidR="0041619C" w:rsidRPr="0041619C" w:rsidRDefault="0041619C" w:rsidP="0041619C">
      <w:pPr>
        <w:pStyle w:val="ListParagraph"/>
        <w:numPr>
          <w:ilvl w:val="0"/>
          <w:numId w:val="1"/>
        </w:numPr>
        <w:spacing w:before="80" w:after="120" w:line="276" w:lineRule="auto"/>
        <w:ind w:left="1003" w:right="283"/>
      </w:pPr>
      <w:r w:rsidRPr="0041619C">
        <w:t xml:space="preserve">The financial planner shall attend one meeting per year to present the status of the fund or at the request of the committee. </w:t>
      </w:r>
    </w:p>
    <w:p w14:paraId="7DB4D5AC" w14:textId="2A03DBD8" w:rsidR="0041619C" w:rsidRDefault="0041619C" w:rsidP="0041619C">
      <w:pPr>
        <w:pStyle w:val="ListParagraph"/>
        <w:numPr>
          <w:ilvl w:val="0"/>
          <w:numId w:val="1"/>
        </w:numPr>
        <w:spacing w:before="80" w:after="120" w:line="276" w:lineRule="auto"/>
        <w:ind w:left="1003" w:right="283"/>
      </w:pPr>
      <w:r w:rsidRPr="0041619C">
        <w:t xml:space="preserve">If a change in financial planner is required, the potential advisor will present to the trustees prior to their </w:t>
      </w:r>
      <w:proofErr w:type="gramStart"/>
      <w:r w:rsidRPr="0041619C">
        <w:t>making a decision</w:t>
      </w:r>
      <w:proofErr w:type="gramEnd"/>
      <w:r w:rsidRPr="0041619C">
        <w:t>.</w:t>
      </w:r>
    </w:p>
    <w:p w14:paraId="6675CDF4" w14:textId="77777777" w:rsidR="0041619C" w:rsidRDefault="0041619C" w:rsidP="0041619C">
      <w:pPr>
        <w:pStyle w:val="ListParagraph"/>
        <w:spacing w:before="80" w:after="120"/>
        <w:ind w:firstLine="0"/>
      </w:pPr>
    </w:p>
    <w:p w14:paraId="343BD92F" w14:textId="369BE1EE" w:rsidR="0041619C" w:rsidRDefault="0041619C" w:rsidP="0041619C">
      <w:pPr>
        <w:ind w:left="0" w:firstLine="0"/>
        <w:rPr>
          <w:b/>
          <w:bCs/>
        </w:rPr>
      </w:pPr>
      <w:r>
        <w:rPr>
          <w:b/>
          <w:bCs/>
        </w:rPr>
        <w:t>EXPENSES</w:t>
      </w:r>
    </w:p>
    <w:p w14:paraId="70E0B76C" w14:textId="77777777" w:rsidR="0041619C" w:rsidRPr="0041619C" w:rsidRDefault="0041619C" w:rsidP="0041619C">
      <w:pPr>
        <w:pStyle w:val="ListParagraph"/>
        <w:numPr>
          <w:ilvl w:val="0"/>
          <w:numId w:val="4"/>
        </w:numPr>
        <w:spacing w:before="80" w:after="120" w:line="276" w:lineRule="auto"/>
        <w:ind w:left="1003" w:right="283"/>
      </w:pPr>
      <w:r w:rsidRPr="0041619C">
        <w:t xml:space="preserve">The fixed cost of administration of the fund (administrative assistant and auditor) shall be reviewed during the December disbursement. </w:t>
      </w:r>
    </w:p>
    <w:p w14:paraId="77E9906F" w14:textId="77777777" w:rsidR="0041619C" w:rsidRPr="0041619C" w:rsidRDefault="0041619C" w:rsidP="0041619C">
      <w:pPr>
        <w:pStyle w:val="ListParagraph"/>
        <w:numPr>
          <w:ilvl w:val="0"/>
          <w:numId w:val="4"/>
        </w:numPr>
        <w:spacing w:before="80" w:after="120" w:line="276" w:lineRule="auto"/>
        <w:ind w:left="1003" w:right="283"/>
      </w:pPr>
      <w:r w:rsidRPr="0041619C">
        <w:t xml:space="preserve">The Trustees’ will be paid per the Manitoba Nurses Union’s Union Leave Policy from the fund. </w:t>
      </w:r>
    </w:p>
    <w:p w14:paraId="61AE72DA" w14:textId="0F191677" w:rsidR="0041619C" w:rsidRDefault="0041619C" w:rsidP="0041619C">
      <w:pPr>
        <w:pStyle w:val="ListParagraph"/>
        <w:numPr>
          <w:ilvl w:val="0"/>
          <w:numId w:val="4"/>
        </w:numPr>
        <w:spacing w:before="80" w:after="120" w:line="276" w:lineRule="auto"/>
        <w:ind w:left="1003" w:right="283"/>
      </w:pPr>
      <w:r w:rsidRPr="0041619C">
        <w:t>Cost of office supplies including, but not limited to, telephone line, Microsoft 365 license, registered mail, cheques, and equipment as required shall be paid for by the fund.</w:t>
      </w:r>
    </w:p>
    <w:p w14:paraId="4A567D49" w14:textId="77777777" w:rsidR="0041619C" w:rsidRDefault="0041619C" w:rsidP="0041619C">
      <w:pPr>
        <w:spacing w:before="80" w:after="120"/>
        <w:ind w:right="283"/>
      </w:pPr>
    </w:p>
    <w:p w14:paraId="32A43AEE" w14:textId="6DCAEDB6" w:rsidR="0041619C" w:rsidRPr="0041619C" w:rsidRDefault="0041619C" w:rsidP="0041619C">
      <w:pPr>
        <w:spacing w:before="80" w:after="120"/>
        <w:ind w:left="0" w:right="283" w:firstLine="0"/>
        <w:rPr>
          <w:b/>
          <w:bCs/>
        </w:rPr>
      </w:pPr>
      <w:r>
        <w:rPr>
          <w:b/>
          <w:bCs/>
        </w:rPr>
        <w:t>ELIGIBILITY OF APPLICANTS</w:t>
      </w:r>
    </w:p>
    <w:p w14:paraId="1D6BE0B7" w14:textId="1334941A" w:rsidR="0041619C" w:rsidRDefault="0041619C" w:rsidP="0041619C">
      <w:pPr>
        <w:pStyle w:val="ListParagraph"/>
        <w:numPr>
          <w:ilvl w:val="0"/>
          <w:numId w:val="13"/>
        </w:numPr>
        <w:spacing w:before="80" w:after="120" w:line="276" w:lineRule="auto"/>
        <w:ind w:left="993" w:right="283" w:hanging="710"/>
      </w:pPr>
      <w:r w:rsidRPr="0041619C">
        <w:t>Casual Applicants must have worked a minimum of 139.56 hours (equivalent of 12 – 12-hour shifts, or 18 – 8-hour shifts) in the six months prior to the disbursement meeting to be eligible to receive fundin</w:t>
      </w:r>
      <w:r>
        <w:t>g.</w:t>
      </w:r>
    </w:p>
    <w:p w14:paraId="59740C14" w14:textId="77777777" w:rsidR="0041619C" w:rsidRDefault="0041619C" w:rsidP="0041619C">
      <w:pPr>
        <w:pStyle w:val="ListParagraph"/>
        <w:numPr>
          <w:ilvl w:val="0"/>
          <w:numId w:val="13"/>
        </w:numPr>
        <w:spacing w:before="80" w:after="120" w:line="276" w:lineRule="auto"/>
        <w:ind w:left="993" w:right="283" w:hanging="710"/>
      </w:pPr>
      <w:r w:rsidRPr="0041619C">
        <w:t xml:space="preserve">Applicants must be a member in good standing of Worksite 10 whereby they have worked a minimum of 6 months before their first application to the Education Fund will be considered. Applicants must be members in good standing of Worksite 10 </w:t>
      </w:r>
      <w:proofErr w:type="gramStart"/>
      <w:r w:rsidRPr="0041619C">
        <w:t>in order to</w:t>
      </w:r>
      <w:proofErr w:type="gramEnd"/>
      <w:r w:rsidRPr="0041619C">
        <w:t xml:space="preserve"> receive funding.  It is the responsibility of the member to determine that they are active members of the Worksite, i.e., they are up to date on the dues check off.  This includes members on leave of absence for educational, personal, maternity, parental leave or </w:t>
      </w:r>
    </w:p>
    <w:p w14:paraId="282D1108" w14:textId="77777777" w:rsidR="0041619C" w:rsidRDefault="0041619C" w:rsidP="0041619C">
      <w:pPr>
        <w:pStyle w:val="ListParagraph"/>
        <w:spacing w:before="80" w:after="120" w:line="276" w:lineRule="auto"/>
        <w:ind w:left="993" w:right="283" w:firstLine="0"/>
      </w:pPr>
    </w:p>
    <w:p w14:paraId="03ECF238" w14:textId="77777777" w:rsidR="0041619C" w:rsidRDefault="0041619C" w:rsidP="0041619C">
      <w:pPr>
        <w:pStyle w:val="ListParagraph"/>
        <w:spacing w:before="80" w:after="120" w:line="276" w:lineRule="auto"/>
        <w:ind w:left="993" w:right="283" w:firstLine="0"/>
      </w:pPr>
    </w:p>
    <w:p w14:paraId="25722146" w14:textId="430A7573" w:rsidR="0041619C" w:rsidRPr="0041619C" w:rsidRDefault="0041619C" w:rsidP="0041619C">
      <w:pPr>
        <w:spacing w:before="80" w:after="120"/>
        <w:ind w:left="0" w:right="283" w:firstLine="0"/>
        <w:rPr>
          <w:b/>
          <w:bCs/>
        </w:rPr>
      </w:pPr>
      <w:r w:rsidRPr="0041619C">
        <w:rPr>
          <w:b/>
          <w:bCs/>
        </w:rPr>
        <w:t>ELIGIBILITY OF APPLICANTS</w:t>
      </w:r>
      <w:r>
        <w:rPr>
          <w:b/>
          <w:bCs/>
        </w:rPr>
        <w:t xml:space="preserve"> – Continued</w:t>
      </w:r>
    </w:p>
    <w:p w14:paraId="59B5BC4F" w14:textId="77777777" w:rsidR="0041619C" w:rsidRPr="0041619C" w:rsidRDefault="0041619C" w:rsidP="0041619C">
      <w:pPr>
        <w:pStyle w:val="ListParagraph"/>
        <w:numPr>
          <w:ilvl w:val="0"/>
          <w:numId w:val="13"/>
        </w:numPr>
        <w:spacing w:before="80" w:after="120" w:line="276" w:lineRule="auto"/>
        <w:ind w:left="993" w:right="283" w:hanging="710"/>
      </w:pPr>
      <w:r w:rsidRPr="0041619C">
        <w:t xml:space="preserve">Applicants on a leave of absence for out-of-scope positions shall not be eligible for funding.  Funding shall be available for courses/conferences completed prior to the applicant commencing the leave of absence or attaining a permanent out-of-scope position. </w:t>
      </w:r>
    </w:p>
    <w:p w14:paraId="76B8E02E" w14:textId="2B4848A8" w:rsidR="0041619C" w:rsidRDefault="0041619C" w:rsidP="0041619C">
      <w:pPr>
        <w:pStyle w:val="ListParagraph"/>
        <w:numPr>
          <w:ilvl w:val="0"/>
          <w:numId w:val="13"/>
        </w:numPr>
        <w:spacing w:before="80" w:after="120" w:line="276" w:lineRule="auto"/>
        <w:ind w:left="993" w:right="283" w:hanging="710"/>
      </w:pPr>
      <w:r w:rsidRPr="0041619C">
        <w:t xml:space="preserve">When the Committee determines an applicant has received funding from more than one source and has not indicated same on the application, the applicant will receive written warning which may result in ineligibility to apply or receive funds in the subsequent one year from the date of infraction. </w:t>
      </w:r>
    </w:p>
    <w:p w14:paraId="526DC7CA" w14:textId="77777777" w:rsidR="0041619C" w:rsidRDefault="0041619C" w:rsidP="0041619C">
      <w:pPr>
        <w:pStyle w:val="ListParagraph"/>
        <w:spacing w:before="80" w:after="120" w:line="276" w:lineRule="auto"/>
        <w:ind w:left="993" w:right="283" w:firstLine="0"/>
      </w:pPr>
    </w:p>
    <w:p w14:paraId="580EAB13" w14:textId="1334D59D" w:rsidR="0041619C" w:rsidRDefault="0041619C" w:rsidP="0041619C">
      <w:pPr>
        <w:spacing w:before="80" w:after="120" w:line="276" w:lineRule="auto"/>
        <w:ind w:left="0" w:right="283" w:firstLine="0"/>
        <w:rPr>
          <w:b/>
          <w:bCs/>
        </w:rPr>
      </w:pPr>
      <w:r>
        <w:rPr>
          <w:b/>
          <w:bCs/>
        </w:rPr>
        <w:t>COMMITTEE MEMBERSHIP</w:t>
      </w:r>
    </w:p>
    <w:p w14:paraId="0D7C186A" w14:textId="77777777" w:rsidR="0041619C" w:rsidRPr="0041619C" w:rsidRDefault="0041619C" w:rsidP="0041619C">
      <w:pPr>
        <w:numPr>
          <w:ilvl w:val="0"/>
          <w:numId w:val="15"/>
        </w:numPr>
        <w:spacing w:before="80" w:after="120" w:line="240" w:lineRule="auto"/>
        <w:ind w:left="993" w:right="0" w:hanging="710"/>
        <w:rPr>
          <w:szCs w:val="24"/>
        </w:rPr>
      </w:pPr>
      <w:r w:rsidRPr="0041619C">
        <w:rPr>
          <w:szCs w:val="24"/>
        </w:rPr>
        <w:t>The chair of the Education Trust Fund shall be the President of Worksite 10 or the Vice-president in the absence of the President.</w:t>
      </w:r>
    </w:p>
    <w:p w14:paraId="2CC00D65" w14:textId="77777777" w:rsidR="0041619C" w:rsidRPr="0041619C" w:rsidRDefault="0041619C" w:rsidP="0041619C">
      <w:pPr>
        <w:numPr>
          <w:ilvl w:val="0"/>
          <w:numId w:val="15"/>
        </w:numPr>
        <w:spacing w:before="80" w:after="120" w:line="240" w:lineRule="auto"/>
        <w:ind w:left="993" w:right="0" w:hanging="710"/>
        <w:rPr>
          <w:szCs w:val="24"/>
        </w:rPr>
      </w:pPr>
      <w:r w:rsidRPr="0041619C">
        <w:rPr>
          <w:szCs w:val="24"/>
        </w:rPr>
        <w:t>The administrator will give at least four (4) weeks’ notice of intention to resign.</w:t>
      </w:r>
    </w:p>
    <w:p w14:paraId="4283EB7A" w14:textId="77777777" w:rsidR="0041619C" w:rsidRDefault="0041619C" w:rsidP="0041619C">
      <w:pPr>
        <w:numPr>
          <w:ilvl w:val="0"/>
          <w:numId w:val="15"/>
        </w:numPr>
        <w:spacing w:before="80" w:after="120" w:line="240" w:lineRule="auto"/>
        <w:ind w:left="993" w:right="0" w:hanging="710"/>
        <w:rPr>
          <w:szCs w:val="24"/>
        </w:rPr>
      </w:pPr>
      <w:r w:rsidRPr="0041619C">
        <w:rPr>
          <w:szCs w:val="24"/>
        </w:rPr>
        <w:t>The committee shall, with a simple majority, dismiss the administrator within four (4) weeks’ notice.</w:t>
      </w:r>
    </w:p>
    <w:p w14:paraId="3A76131C" w14:textId="77777777" w:rsidR="0041619C" w:rsidRDefault="0041619C" w:rsidP="0041619C">
      <w:pPr>
        <w:spacing w:before="80" w:after="120" w:line="240" w:lineRule="auto"/>
        <w:ind w:left="0" w:right="0" w:firstLine="0"/>
        <w:rPr>
          <w:szCs w:val="24"/>
        </w:rPr>
      </w:pPr>
    </w:p>
    <w:p w14:paraId="34221589" w14:textId="6830848A" w:rsidR="0041619C" w:rsidRDefault="0041619C" w:rsidP="0041619C">
      <w:pPr>
        <w:spacing w:before="80" w:after="120" w:line="240" w:lineRule="auto"/>
        <w:ind w:left="0" w:right="0" w:firstLine="0"/>
        <w:rPr>
          <w:b/>
          <w:bCs/>
          <w:szCs w:val="24"/>
        </w:rPr>
      </w:pPr>
      <w:r>
        <w:rPr>
          <w:b/>
          <w:bCs/>
          <w:szCs w:val="24"/>
        </w:rPr>
        <w:t>TERMS OF OFFICE OF THE COMMITTEE MEMBERS</w:t>
      </w:r>
    </w:p>
    <w:p w14:paraId="40B63D46" w14:textId="77777777" w:rsidR="00FD67F6" w:rsidRDefault="0041619C" w:rsidP="00FD67F6">
      <w:pPr>
        <w:pStyle w:val="ListParagraph"/>
        <w:numPr>
          <w:ilvl w:val="0"/>
          <w:numId w:val="18"/>
        </w:numPr>
        <w:spacing w:before="80" w:after="120" w:line="276" w:lineRule="auto"/>
        <w:ind w:left="993" w:right="283" w:hanging="710"/>
        <w:rPr>
          <w:szCs w:val="24"/>
        </w:rPr>
      </w:pPr>
      <w:r w:rsidRPr="0041619C">
        <w:rPr>
          <w:szCs w:val="24"/>
        </w:rPr>
        <w:t>The committee members shall hold a two (2) year term, commencing May 1st to April 30th.</w:t>
      </w:r>
    </w:p>
    <w:p w14:paraId="652700B1" w14:textId="77777777" w:rsidR="00FD67F6" w:rsidRDefault="0041619C" w:rsidP="00FD67F6">
      <w:pPr>
        <w:pStyle w:val="ListParagraph"/>
        <w:numPr>
          <w:ilvl w:val="0"/>
          <w:numId w:val="18"/>
        </w:numPr>
        <w:spacing w:before="80" w:after="120" w:line="276" w:lineRule="auto"/>
        <w:ind w:left="993" w:right="283" w:hanging="710"/>
        <w:rPr>
          <w:szCs w:val="24"/>
        </w:rPr>
      </w:pPr>
      <w:r w:rsidRPr="00FD67F6">
        <w:rPr>
          <w:szCs w:val="24"/>
        </w:rPr>
        <w:t>Candidates for vacant positions shall be sought through the Worksite 10’s Annual General Meeting Call for Nominations Process. The committee is comprised of four (4) members. In the case of multiple nominations, there will be an election and vote from membership at the Annual General Meeting.</w:t>
      </w:r>
    </w:p>
    <w:p w14:paraId="57303DBC" w14:textId="77777777" w:rsidR="00FD67F6" w:rsidRDefault="0041619C" w:rsidP="00FD67F6">
      <w:pPr>
        <w:pStyle w:val="ListParagraph"/>
        <w:numPr>
          <w:ilvl w:val="0"/>
          <w:numId w:val="18"/>
        </w:numPr>
        <w:spacing w:before="80" w:after="120" w:line="276" w:lineRule="auto"/>
        <w:ind w:left="993" w:right="283" w:hanging="710"/>
        <w:rPr>
          <w:szCs w:val="24"/>
        </w:rPr>
      </w:pPr>
      <w:r w:rsidRPr="00FD67F6">
        <w:rPr>
          <w:szCs w:val="24"/>
        </w:rPr>
        <w:t>If a committee member misses two out of the four meetings in one year, they will be asked to resign from the Committee</w:t>
      </w:r>
      <w:r w:rsidR="00FD67F6">
        <w:rPr>
          <w:szCs w:val="24"/>
        </w:rPr>
        <w:t>.</w:t>
      </w:r>
    </w:p>
    <w:p w14:paraId="279DBBA7" w14:textId="77777777" w:rsidR="00FD67F6" w:rsidRDefault="00FD67F6" w:rsidP="00FD67F6">
      <w:pPr>
        <w:spacing w:before="80" w:after="120" w:line="276" w:lineRule="auto"/>
        <w:ind w:left="0" w:right="0" w:firstLine="0"/>
        <w:rPr>
          <w:b/>
          <w:sz w:val="22"/>
          <w:u w:val="single"/>
        </w:rPr>
      </w:pPr>
    </w:p>
    <w:p w14:paraId="7332AB89" w14:textId="53380828" w:rsidR="00FD67F6" w:rsidRPr="00FD67F6" w:rsidRDefault="00FD67F6" w:rsidP="00FD67F6">
      <w:pPr>
        <w:spacing w:before="80" w:after="120" w:line="240" w:lineRule="auto"/>
        <w:ind w:left="0" w:right="0" w:firstLine="0"/>
        <w:rPr>
          <w:b/>
          <w:bCs/>
          <w:szCs w:val="24"/>
        </w:rPr>
      </w:pPr>
      <w:r w:rsidRPr="00FD67F6">
        <w:rPr>
          <w:b/>
          <w:bCs/>
          <w:szCs w:val="24"/>
        </w:rPr>
        <w:t xml:space="preserve">DEFINITIONS </w:t>
      </w:r>
    </w:p>
    <w:p w14:paraId="050E539F" w14:textId="77777777" w:rsidR="00FD67F6" w:rsidRDefault="00FD67F6" w:rsidP="00FD67F6">
      <w:pPr>
        <w:pStyle w:val="ListParagraph"/>
        <w:numPr>
          <w:ilvl w:val="0"/>
          <w:numId w:val="19"/>
        </w:numPr>
        <w:spacing w:before="80" w:after="120" w:line="276" w:lineRule="auto"/>
        <w:ind w:left="993" w:right="283" w:hanging="710"/>
        <w:rPr>
          <w:szCs w:val="24"/>
        </w:rPr>
      </w:pPr>
      <w:r w:rsidRPr="00FD67F6">
        <w:rPr>
          <w:szCs w:val="24"/>
        </w:rPr>
        <w:t xml:space="preserve">A Part Time Course is defined as any percentages less than 60% of full-time studies.  A program (credit/non-credit) in nursing, and fields related to nursing, Labour relations, or areas which could apply to positions in nursing by an educational institution. The sixty (60) day deadline applies to each course. Only tuition costs of the course are eligible. </w:t>
      </w:r>
    </w:p>
    <w:p w14:paraId="60705C9B" w14:textId="77777777" w:rsidR="00FD67F6" w:rsidRDefault="00FD67F6" w:rsidP="00FD67F6">
      <w:pPr>
        <w:pStyle w:val="ListParagraph"/>
        <w:numPr>
          <w:ilvl w:val="0"/>
          <w:numId w:val="19"/>
        </w:numPr>
        <w:spacing w:before="80" w:after="120" w:line="276" w:lineRule="auto"/>
        <w:ind w:left="993" w:right="283" w:hanging="710"/>
        <w:rPr>
          <w:szCs w:val="24"/>
        </w:rPr>
      </w:pPr>
      <w:r w:rsidRPr="00FD67F6">
        <w:rPr>
          <w:szCs w:val="24"/>
        </w:rPr>
        <w:t xml:space="preserve">A Conference/Certification/Recertification/Workshop is an educational session (conference, seminar, workshop) related to nursing or areas which could apply to positions in nursing and/or labour relations, or examination of continuous learning process which leads to a nurse to obtain specialty credentials. </w:t>
      </w:r>
    </w:p>
    <w:p w14:paraId="33549538" w14:textId="77777777" w:rsidR="00FD67F6" w:rsidRDefault="00FD67F6" w:rsidP="00FD67F6">
      <w:pPr>
        <w:pStyle w:val="ListParagraph"/>
        <w:numPr>
          <w:ilvl w:val="0"/>
          <w:numId w:val="19"/>
        </w:numPr>
        <w:spacing w:before="80" w:after="120" w:line="276" w:lineRule="auto"/>
        <w:ind w:left="993" w:right="283" w:hanging="710"/>
        <w:rPr>
          <w:szCs w:val="24"/>
        </w:rPr>
      </w:pPr>
      <w:r w:rsidRPr="00FD67F6">
        <w:rPr>
          <w:szCs w:val="24"/>
        </w:rPr>
        <w:t xml:space="preserve">Airfare is defined as the cost of the flight and applicable taxes. Travel also includes transportation to hotel and </w:t>
      </w:r>
      <w:proofErr w:type="gramStart"/>
      <w:r w:rsidRPr="00FD67F6">
        <w:rPr>
          <w:szCs w:val="24"/>
        </w:rPr>
        <w:t>return</w:t>
      </w:r>
      <w:proofErr w:type="gramEnd"/>
      <w:r w:rsidRPr="00FD67F6">
        <w:rPr>
          <w:szCs w:val="24"/>
        </w:rPr>
        <w:t xml:space="preserve"> to the airport. </w:t>
      </w:r>
    </w:p>
    <w:p w14:paraId="715BCE9A" w14:textId="37B19958" w:rsidR="00FD67F6" w:rsidRPr="00FD67F6" w:rsidRDefault="00FD67F6" w:rsidP="00FD67F6">
      <w:pPr>
        <w:pStyle w:val="ListParagraph"/>
        <w:numPr>
          <w:ilvl w:val="0"/>
          <w:numId w:val="19"/>
        </w:numPr>
        <w:spacing w:before="80" w:after="120" w:line="276" w:lineRule="auto"/>
        <w:ind w:left="993" w:right="283" w:hanging="710"/>
        <w:rPr>
          <w:szCs w:val="24"/>
        </w:rPr>
      </w:pPr>
      <w:r w:rsidRPr="00FD67F6">
        <w:rPr>
          <w:szCs w:val="24"/>
        </w:rPr>
        <w:t xml:space="preserve">Proof of payment for registration, travel and accommodation is required. Documents include proof of attendance, copy of credit card statement with applicant’s name and visible charges. </w:t>
      </w:r>
    </w:p>
    <w:p w14:paraId="72C463B9" w14:textId="77777777" w:rsidR="00FD67F6" w:rsidRDefault="00FD67F6" w:rsidP="0041619C">
      <w:pPr>
        <w:spacing w:before="80" w:after="120" w:line="240" w:lineRule="auto"/>
        <w:ind w:left="0" w:right="0" w:firstLine="0"/>
        <w:rPr>
          <w:b/>
          <w:bCs/>
          <w:szCs w:val="24"/>
        </w:rPr>
      </w:pPr>
    </w:p>
    <w:p w14:paraId="4AFB35AD" w14:textId="77777777" w:rsidR="00FD67F6" w:rsidRDefault="00FD67F6" w:rsidP="0041619C">
      <w:pPr>
        <w:spacing w:before="80" w:after="120" w:line="240" w:lineRule="auto"/>
        <w:ind w:left="0" w:right="0" w:firstLine="0"/>
        <w:rPr>
          <w:b/>
          <w:bCs/>
          <w:szCs w:val="24"/>
        </w:rPr>
      </w:pPr>
    </w:p>
    <w:p w14:paraId="2C8C3FE7" w14:textId="50438CD4" w:rsidR="00FD67F6" w:rsidRDefault="00FD67F6" w:rsidP="0041619C">
      <w:pPr>
        <w:spacing w:before="80" w:after="120" w:line="240" w:lineRule="auto"/>
        <w:ind w:left="0" w:right="0" w:firstLine="0"/>
        <w:rPr>
          <w:b/>
          <w:bCs/>
          <w:szCs w:val="24"/>
        </w:rPr>
      </w:pPr>
      <w:r>
        <w:rPr>
          <w:b/>
          <w:bCs/>
          <w:szCs w:val="24"/>
        </w:rPr>
        <w:t>DISBURSEMENTS</w:t>
      </w:r>
    </w:p>
    <w:p w14:paraId="1F0C9641" w14:textId="77777777"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The fiscal year is the period from January 1</w:t>
      </w:r>
      <w:r w:rsidRPr="00FD67F6">
        <w:rPr>
          <w:szCs w:val="24"/>
          <w:vertAlign w:val="superscript"/>
        </w:rPr>
        <w:t>st</w:t>
      </w:r>
      <w:r w:rsidRPr="00FD67F6">
        <w:rPr>
          <w:szCs w:val="24"/>
        </w:rPr>
        <w:t xml:space="preserve"> to December 31</w:t>
      </w:r>
      <w:r w:rsidRPr="00FD67F6">
        <w:rPr>
          <w:szCs w:val="24"/>
          <w:vertAlign w:val="superscript"/>
        </w:rPr>
        <w:t>st</w:t>
      </w:r>
      <w:r w:rsidRPr="00FD67F6">
        <w:rPr>
          <w:szCs w:val="24"/>
        </w:rPr>
        <w:t>.</w:t>
      </w:r>
    </w:p>
    <w:p w14:paraId="40ECF682" w14:textId="77777777"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Disbursements shall be made four times per year.  Deadlines shall be determined by the trustees and may occur in the months of March, June, September and December.  Notification of deadlines for completed applications will be advertised on the Worksite 10 website.</w:t>
      </w:r>
    </w:p>
    <w:p w14:paraId="5DB9AA39" w14:textId="77777777"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Deadline for submission of applications is sixty (60) days post completion of the course or conference or the date of completion of workshop/certification/recertification/workshop.</w:t>
      </w:r>
    </w:p>
    <w:p w14:paraId="36C4341C" w14:textId="77777777"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Funding for Part-Time Courses is set at 50% of cost up to a $1,000.00 maximum per calendar year.  (January 1</w:t>
      </w:r>
      <w:r w:rsidRPr="00FD67F6">
        <w:rPr>
          <w:szCs w:val="24"/>
          <w:vertAlign w:val="superscript"/>
        </w:rPr>
        <w:t>st</w:t>
      </w:r>
      <w:r w:rsidRPr="00FD67F6">
        <w:rPr>
          <w:szCs w:val="24"/>
        </w:rPr>
        <w:t xml:space="preserve"> to December 31)</w:t>
      </w:r>
    </w:p>
    <w:p w14:paraId="003C2D3F" w14:textId="2E482817"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Funding for Conference/Certification/Recertification is set at a maximum of $1000.00 per year per calendar year. Funding will be annually reviewed and amended every fiscal year, prior to January 1</w:t>
      </w:r>
      <w:r w:rsidRPr="00FD67F6">
        <w:rPr>
          <w:szCs w:val="24"/>
          <w:vertAlign w:val="superscript"/>
        </w:rPr>
        <w:t>st</w:t>
      </w:r>
      <w:r w:rsidRPr="00FD67F6">
        <w:rPr>
          <w:szCs w:val="24"/>
        </w:rPr>
        <w:t>.</w:t>
      </w:r>
    </w:p>
    <w:p w14:paraId="038BFC38" w14:textId="3DF3402B"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 xml:space="preserve">Bursaries shall be awarded on the decision of the Board up to a maximum amount of $6,000.00 for a Baccalaureate Degree; $8,000.00 for a master’s degree; and $10,000.00 for a Doctorate Degree for full-time studies. </w:t>
      </w:r>
    </w:p>
    <w:p w14:paraId="50781109" w14:textId="79ECECEE" w:rsidR="00FD67F6" w:rsidRDefault="00FD67F6" w:rsidP="00FD67F6">
      <w:pPr>
        <w:pStyle w:val="ListParagraph"/>
        <w:numPr>
          <w:ilvl w:val="0"/>
          <w:numId w:val="21"/>
        </w:numPr>
        <w:spacing w:before="80" w:after="120" w:line="276" w:lineRule="auto"/>
        <w:ind w:left="993" w:right="283" w:hanging="710"/>
        <w:rPr>
          <w:szCs w:val="24"/>
        </w:rPr>
      </w:pPr>
      <w:r w:rsidRPr="00FD67F6">
        <w:rPr>
          <w:szCs w:val="24"/>
        </w:rPr>
        <w:t>Incomplete applications will be held for a maximum of one year from the original date of application to allow the submissions of missing documents.  After that time the application will be deemed ineligible for funding consideration.</w:t>
      </w:r>
    </w:p>
    <w:p w14:paraId="0B6358BA" w14:textId="77777777" w:rsidR="003F3051" w:rsidRDefault="003F3051" w:rsidP="003F3051">
      <w:pPr>
        <w:spacing w:before="80" w:after="120" w:line="276" w:lineRule="auto"/>
        <w:ind w:left="0" w:right="283" w:firstLine="0"/>
        <w:rPr>
          <w:szCs w:val="24"/>
        </w:rPr>
      </w:pPr>
    </w:p>
    <w:p w14:paraId="3CE42E12" w14:textId="0F50672F" w:rsidR="003F3051" w:rsidRDefault="003F3051" w:rsidP="003F3051">
      <w:pPr>
        <w:spacing w:before="80" w:after="120" w:line="276" w:lineRule="auto"/>
        <w:ind w:left="0" w:right="283" w:firstLine="0"/>
        <w:rPr>
          <w:b/>
          <w:bCs/>
          <w:szCs w:val="24"/>
        </w:rPr>
      </w:pPr>
      <w:r>
        <w:rPr>
          <w:b/>
          <w:bCs/>
          <w:szCs w:val="24"/>
        </w:rPr>
        <w:t>APPEAL PROCESS</w:t>
      </w:r>
    </w:p>
    <w:p w14:paraId="5E1E0C15" w14:textId="45E35E9D" w:rsidR="00877900" w:rsidRPr="00877900" w:rsidRDefault="003F3051" w:rsidP="00877900">
      <w:pPr>
        <w:pStyle w:val="ListParagraph"/>
        <w:numPr>
          <w:ilvl w:val="0"/>
          <w:numId w:val="25"/>
        </w:numPr>
        <w:pBdr>
          <w:bottom w:val="single" w:sz="4" w:space="1" w:color="auto"/>
        </w:pBdr>
        <w:spacing w:before="80" w:after="120" w:line="276" w:lineRule="auto"/>
        <w:ind w:left="1276" w:right="283" w:hanging="993"/>
        <w:rPr>
          <w:szCs w:val="24"/>
        </w:rPr>
      </w:pPr>
      <w:r w:rsidRPr="003F3051">
        <w:rPr>
          <w:szCs w:val="24"/>
        </w:rPr>
        <w:t>Appeals shall be submitted in writing to the Board within thirty (30) days of the dated decision letter from the Board.  A written response to the appeal shall be made within thirty (30) days of receipt of the appeal</w:t>
      </w:r>
      <w:r w:rsidR="00877900">
        <w:rPr>
          <w:szCs w:val="24"/>
        </w:rPr>
        <w:t>.</w:t>
      </w:r>
      <w:r w:rsidR="00877900">
        <w:rPr>
          <w:sz w:val="22"/>
        </w:rPr>
        <w:br/>
      </w:r>
    </w:p>
    <w:p w14:paraId="2B87F8FE" w14:textId="77777777" w:rsidR="00877900" w:rsidRPr="00877900" w:rsidRDefault="00877900" w:rsidP="00877900">
      <w:pPr>
        <w:spacing w:before="80" w:after="120" w:line="276" w:lineRule="auto"/>
        <w:ind w:right="283"/>
        <w:rPr>
          <w:szCs w:val="24"/>
        </w:rPr>
      </w:pPr>
    </w:p>
    <w:p w14:paraId="5B1FE58D" w14:textId="77777777" w:rsidR="0041619C" w:rsidRPr="0041619C" w:rsidRDefault="0041619C" w:rsidP="0041619C">
      <w:pPr>
        <w:spacing w:before="80" w:after="120" w:line="276" w:lineRule="auto"/>
        <w:ind w:right="283"/>
      </w:pPr>
    </w:p>
    <w:p w14:paraId="7DB3C3D8" w14:textId="3B81B1B2" w:rsidR="003F3051" w:rsidRDefault="003F3051" w:rsidP="003F3051">
      <w:pPr>
        <w:spacing w:before="80" w:after="120"/>
        <w:ind w:left="0" w:right="283" w:firstLine="0"/>
        <w:jc w:val="left"/>
      </w:pPr>
    </w:p>
    <w:p w14:paraId="689BABC7" w14:textId="77777777" w:rsidR="003F3051" w:rsidRPr="003F3051" w:rsidRDefault="003F3051" w:rsidP="0041619C">
      <w:pPr>
        <w:spacing w:before="80" w:after="120"/>
        <w:ind w:left="0" w:right="283" w:firstLine="0"/>
      </w:pPr>
    </w:p>
    <w:tbl>
      <w:tblPr>
        <w:tblStyle w:val="TableGrid"/>
        <w:tblpPr w:leftFromText="180" w:rightFromText="180" w:vertAnchor="text" w:horzAnchor="margin" w:tblpXSpec="center" w:tblpY="607"/>
        <w:tblW w:w="4506" w:type="pct"/>
        <w:tblLook w:val="04A0" w:firstRow="1" w:lastRow="0" w:firstColumn="1" w:lastColumn="0" w:noHBand="0" w:noVBand="1"/>
      </w:tblPr>
      <w:tblGrid>
        <w:gridCol w:w="2730"/>
        <w:gridCol w:w="6994"/>
      </w:tblGrid>
      <w:tr w:rsidR="00877900" w14:paraId="018DAB21" w14:textId="77777777" w:rsidTr="00877900">
        <w:trPr>
          <w:trHeight w:val="393"/>
        </w:trPr>
        <w:tc>
          <w:tcPr>
            <w:tcW w:w="5000" w:type="pct"/>
            <w:gridSpan w:val="2"/>
            <w:vAlign w:val="center"/>
          </w:tcPr>
          <w:p w14:paraId="4569A938" w14:textId="77777777" w:rsidR="00877900" w:rsidRPr="00877900" w:rsidRDefault="00877900" w:rsidP="00877900">
            <w:pPr>
              <w:spacing w:before="80" w:after="120" w:line="276" w:lineRule="auto"/>
              <w:ind w:left="0" w:right="283" w:firstLine="0"/>
              <w:jc w:val="left"/>
              <w:rPr>
                <w:sz w:val="32"/>
                <w:szCs w:val="28"/>
              </w:rPr>
            </w:pPr>
            <w:r w:rsidRPr="00877900">
              <w:rPr>
                <w:sz w:val="40"/>
                <w:szCs w:val="36"/>
              </w:rPr>
              <w:t>Education Trust Fun</w:t>
            </w:r>
            <w:r>
              <w:rPr>
                <w:sz w:val="40"/>
                <w:szCs w:val="36"/>
              </w:rPr>
              <w:t>d</w:t>
            </w:r>
          </w:p>
        </w:tc>
      </w:tr>
      <w:tr w:rsidR="00877900" w14:paraId="16C46484" w14:textId="77777777" w:rsidTr="00877900">
        <w:trPr>
          <w:trHeight w:val="415"/>
        </w:trPr>
        <w:tc>
          <w:tcPr>
            <w:tcW w:w="1404" w:type="pct"/>
            <w:vAlign w:val="center"/>
          </w:tcPr>
          <w:p w14:paraId="32EAC60A" w14:textId="77777777" w:rsidR="00877900" w:rsidRPr="00877900" w:rsidRDefault="00877900" w:rsidP="00877900">
            <w:pPr>
              <w:spacing w:before="80" w:after="120" w:line="276" w:lineRule="auto"/>
              <w:ind w:left="0" w:right="283" w:firstLine="0"/>
              <w:jc w:val="right"/>
              <w:rPr>
                <w:b/>
                <w:bCs/>
              </w:rPr>
            </w:pPr>
            <w:r w:rsidRPr="00877900">
              <w:rPr>
                <w:b/>
                <w:bCs/>
              </w:rPr>
              <w:t>Address:</w:t>
            </w:r>
          </w:p>
        </w:tc>
        <w:tc>
          <w:tcPr>
            <w:tcW w:w="3596" w:type="pct"/>
            <w:vAlign w:val="bottom"/>
          </w:tcPr>
          <w:p w14:paraId="73BC382F" w14:textId="77777777" w:rsidR="00877900" w:rsidRPr="00877900" w:rsidRDefault="00877900" w:rsidP="00877900">
            <w:pPr>
              <w:spacing w:before="80" w:after="120"/>
              <w:ind w:left="0" w:right="283" w:firstLine="0"/>
              <w:jc w:val="left"/>
              <w:rPr>
                <w:sz w:val="22"/>
              </w:rPr>
            </w:pPr>
            <w:r w:rsidRPr="00877900">
              <w:rPr>
                <w:sz w:val="22"/>
              </w:rPr>
              <w:t>770 Notre Dame Avenue, Winnipeg, Manitoba R3E 0L9</w:t>
            </w:r>
          </w:p>
        </w:tc>
      </w:tr>
      <w:tr w:rsidR="00877900" w14:paraId="0AA60448" w14:textId="77777777" w:rsidTr="00877900">
        <w:trPr>
          <w:trHeight w:val="518"/>
        </w:trPr>
        <w:tc>
          <w:tcPr>
            <w:tcW w:w="1404" w:type="pct"/>
            <w:vAlign w:val="center"/>
          </w:tcPr>
          <w:p w14:paraId="0750DA5F" w14:textId="77777777" w:rsidR="00877900" w:rsidRPr="00877900" w:rsidRDefault="00877900" w:rsidP="00877900">
            <w:pPr>
              <w:spacing w:before="80" w:after="120" w:line="276" w:lineRule="auto"/>
              <w:ind w:left="0" w:right="283" w:firstLine="0"/>
              <w:jc w:val="right"/>
              <w:rPr>
                <w:b/>
                <w:bCs/>
              </w:rPr>
            </w:pPr>
            <w:r w:rsidRPr="00877900">
              <w:rPr>
                <w:b/>
                <w:bCs/>
              </w:rPr>
              <w:t>Email:</w:t>
            </w:r>
          </w:p>
        </w:tc>
        <w:tc>
          <w:tcPr>
            <w:tcW w:w="3596" w:type="pct"/>
            <w:vAlign w:val="bottom"/>
          </w:tcPr>
          <w:p w14:paraId="43D62DC0" w14:textId="77777777" w:rsidR="00877900" w:rsidRPr="00877900" w:rsidRDefault="00877900" w:rsidP="00877900">
            <w:pPr>
              <w:spacing w:before="80" w:after="120" w:line="276" w:lineRule="auto"/>
              <w:ind w:left="0" w:right="283" w:firstLine="0"/>
              <w:jc w:val="left"/>
              <w:rPr>
                <w:sz w:val="22"/>
              </w:rPr>
            </w:pPr>
            <w:r w:rsidRPr="00877900">
              <w:rPr>
                <w:sz w:val="22"/>
              </w:rPr>
              <w:t>HSCEducationFund@mnu10.ca</w:t>
            </w:r>
          </w:p>
        </w:tc>
      </w:tr>
      <w:tr w:rsidR="00877900" w14:paraId="3096EE2F" w14:textId="77777777" w:rsidTr="00877900">
        <w:trPr>
          <w:trHeight w:val="520"/>
        </w:trPr>
        <w:tc>
          <w:tcPr>
            <w:tcW w:w="1404" w:type="pct"/>
            <w:vAlign w:val="center"/>
          </w:tcPr>
          <w:p w14:paraId="1DFEF65B" w14:textId="77777777" w:rsidR="00877900" w:rsidRPr="00877900" w:rsidRDefault="00877900" w:rsidP="00877900">
            <w:pPr>
              <w:spacing w:before="80" w:after="120" w:line="276" w:lineRule="auto"/>
              <w:ind w:left="0" w:right="283" w:firstLine="0"/>
              <w:jc w:val="right"/>
              <w:rPr>
                <w:b/>
                <w:bCs/>
              </w:rPr>
            </w:pPr>
            <w:r w:rsidRPr="00877900">
              <w:rPr>
                <w:b/>
                <w:bCs/>
              </w:rPr>
              <w:t>Phone Number</w:t>
            </w:r>
          </w:p>
        </w:tc>
        <w:tc>
          <w:tcPr>
            <w:tcW w:w="3596" w:type="pct"/>
            <w:vAlign w:val="bottom"/>
          </w:tcPr>
          <w:p w14:paraId="593DBD60" w14:textId="77777777" w:rsidR="00877900" w:rsidRPr="00877900" w:rsidRDefault="00877900" w:rsidP="00877900">
            <w:pPr>
              <w:spacing w:before="80" w:after="120" w:line="276" w:lineRule="auto"/>
              <w:ind w:left="0" w:right="283" w:firstLine="0"/>
              <w:jc w:val="left"/>
              <w:rPr>
                <w:sz w:val="22"/>
              </w:rPr>
            </w:pPr>
            <w:r w:rsidRPr="00877900">
              <w:rPr>
                <w:sz w:val="22"/>
              </w:rPr>
              <w:t>(204) 775-6811</w:t>
            </w:r>
          </w:p>
        </w:tc>
      </w:tr>
    </w:tbl>
    <w:p w14:paraId="7FB4E7F9" w14:textId="77777777" w:rsidR="0041619C" w:rsidRPr="0041619C" w:rsidRDefault="0041619C" w:rsidP="0041619C">
      <w:pPr>
        <w:ind w:left="0" w:firstLine="0"/>
        <w:rPr>
          <w:b/>
          <w:bCs/>
        </w:rPr>
      </w:pPr>
    </w:p>
    <w:sectPr w:rsidR="0041619C" w:rsidRPr="0041619C" w:rsidSect="0041619C">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F5E1" w14:textId="77777777" w:rsidR="00877900" w:rsidRDefault="00877900" w:rsidP="00877900">
      <w:pPr>
        <w:spacing w:after="0" w:line="240" w:lineRule="auto"/>
      </w:pPr>
      <w:r>
        <w:separator/>
      </w:r>
    </w:p>
  </w:endnote>
  <w:endnote w:type="continuationSeparator" w:id="0">
    <w:p w14:paraId="3E53685D" w14:textId="77777777" w:rsidR="00877900" w:rsidRDefault="00877900" w:rsidP="0087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FA6C" w14:textId="1CAA7560" w:rsidR="00877900" w:rsidRPr="00877900" w:rsidRDefault="00877900" w:rsidP="00877900">
    <w:pPr>
      <w:jc w:val="right"/>
      <w:rPr>
        <w:sz w:val="16"/>
        <w:szCs w:val="16"/>
      </w:rPr>
    </w:pPr>
    <w:bookmarkStart w:id="0" w:name="_Hlk216701200"/>
    <w:r w:rsidRPr="00773122">
      <w:rPr>
        <w:sz w:val="16"/>
        <w:szCs w:val="16"/>
      </w:rPr>
      <w:t>Revised from 2012, June 2014, June 2015, June 2016, Dec 2017, Dec 2018, June 2019</w:t>
    </w:r>
    <w:r>
      <w:rPr>
        <w:sz w:val="16"/>
        <w:szCs w:val="16"/>
      </w:rPr>
      <w:t>, June 2020, June 2024, December 2025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C455" w14:textId="77777777" w:rsidR="00877900" w:rsidRDefault="00877900" w:rsidP="00877900">
      <w:pPr>
        <w:spacing w:after="0" w:line="240" w:lineRule="auto"/>
      </w:pPr>
      <w:r>
        <w:separator/>
      </w:r>
    </w:p>
  </w:footnote>
  <w:footnote w:type="continuationSeparator" w:id="0">
    <w:p w14:paraId="243CCB18" w14:textId="77777777" w:rsidR="00877900" w:rsidRDefault="00877900" w:rsidP="0087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E12"/>
    <w:multiLevelType w:val="multilevel"/>
    <w:tmpl w:val="379EF396"/>
    <w:lvl w:ilvl="0">
      <w:start w:val="1"/>
      <w:numFmt w:val="decimal"/>
      <w:lvlText w:val="%1.0"/>
      <w:lvlJc w:val="left"/>
      <w:pPr>
        <w:tabs>
          <w:tab w:val="num" w:pos="720"/>
        </w:tabs>
        <w:ind w:left="720" w:hanging="720"/>
      </w:pPr>
      <w:rPr>
        <w:rFonts w:hint="default"/>
        <w:strike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1E55529"/>
    <w:multiLevelType w:val="multilevel"/>
    <w:tmpl w:val="D6AE6E10"/>
    <w:lvl w:ilvl="0">
      <w:start w:val="1"/>
      <w:numFmt w:val="decimal"/>
      <w:lvlText w:val="%1.0"/>
      <w:lvlJc w:val="left"/>
      <w:pPr>
        <w:ind w:left="720" w:hanging="720"/>
      </w:pPr>
      <w:rPr>
        <w:rFonts w:hint="default"/>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B7001F"/>
    <w:multiLevelType w:val="multilevel"/>
    <w:tmpl w:val="57DE76F0"/>
    <w:lvl w:ilvl="0">
      <w:start w:val="1"/>
      <w:numFmt w:val="decimal"/>
      <w:lvlText w:val="%1.0"/>
      <w:lvlJc w:val="left"/>
      <w:pPr>
        <w:ind w:left="1846" w:hanging="405"/>
      </w:pPr>
      <w:rPr>
        <w:rFonts w:hint="default"/>
      </w:rPr>
    </w:lvl>
    <w:lvl w:ilvl="1">
      <w:start w:val="1"/>
      <w:numFmt w:val="decimal"/>
      <w:lvlText w:val="%1.%2"/>
      <w:lvlJc w:val="left"/>
      <w:pPr>
        <w:ind w:left="2566" w:hanging="405"/>
      </w:pPr>
      <w:rPr>
        <w:rFonts w:hint="default"/>
      </w:rPr>
    </w:lvl>
    <w:lvl w:ilvl="2">
      <w:start w:val="1"/>
      <w:numFmt w:val="decimal"/>
      <w:lvlText w:val="%1.%2.%3"/>
      <w:lvlJc w:val="left"/>
      <w:pPr>
        <w:ind w:left="3601" w:hanging="720"/>
      </w:pPr>
      <w:rPr>
        <w:rFonts w:hint="default"/>
      </w:rPr>
    </w:lvl>
    <w:lvl w:ilvl="3">
      <w:start w:val="1"/>
      <w:numFmt w:val="decimal"/>
      <w:lvlText w:val="%1.%2.%3.%4"/>
      <w:lvlJc w:val="left"/>
      <w:pPr>
        <w:ind w:left="4681" w:hanging="1080"/>
      </w:pPr>
      <w:rPr>
        <w:rFonts w:hint="default"/>
      </w:rPr>
    </w:lvl>
    <w:lvl w:ilvl="4">
      <w:start w:val="1"/>
      <w:numFmt w:val="decimal"/>
      <w:lvlText w:val="%1.%2.%3.%4.%5"/>
      <w:lvlJc w:val="left"/>
      <w:pPr>
        <w:ind w:left="5401" w:hanging="1080"/>
      </w:pPr>
      <w:rPr>
        <w:rFonts w:hint="default"/>
      </w:rPr>
    </w:lvl>
    <w:lvl w:ilvl="5">
      <w:start w:val="1"/>
      <w:numFmt w:val="decimal"/>
      <w:lvlText w:val="%1.%2.%3.%4.%5.%6"/>
      <w:lvlJc w:val="left"/>
      <w:pPr>
        <w:ind w:left="6481" w:hanging="1440"/>
      </w:pPr>
      <w:rPr>
        <w:rFonts w:hint="default"/>
      </w:rPr>
    </w:lvl>
    <w:lvl w:ilvl="6">
      <w:start w:val="1"/>
      <w:numFmt w:val="decimal"/>
      <w:lvlText w:val="%1.%2.%3.%4.%5.%6.%7"/>
      <w:lvlJc w:val="left"/>
      <w:pPr>
        <w:ind w:left="7201" w:hanging="1440"/>
      </w:pPr>
      <w:rPr>
        <w:rFonts w:hint="default"/>
      </w:rPr>
    </w:lvl>
    <w:lvl w:ilvl="7">
      <w:start w:val="1"/>
      <w:numFmt w:val="decimal"/>
      <w:lvlText w:val="%1.%2.%3.%4.%5.%6.%7.%8"/>
      <w:lvlJc w:val="left"/>
      <w:pPr>
        <w:ind w:left="8281" w:hanging="1800"/>
      </w:pPr>
      <w:rPr>
        <w:rFonts w:hint="default"/>
      </w:rPr>
    </w:lvl>
    <w:lvl w:ilvl="8">
      <w:start w:val="1"/>
      <w:numFmt w:val="decimal"/>
      <w:lvlText w:val="%1.%2.%3.%4.%5.%6.%7.%8.%9"/>
      <w:lvlJc w:val="left"/>
      <w:pPr>
        <w:ind w:left="9001" w:hanging="1800"/>
      </w:pPr>
      <w:rPr>
        <w:rFonts w:hint="default"/>
      </w:rPr>
    </w:lvl>
  </w:abstractNum>
  <w:abstractNum w:abstractNumId="3" w15:restartNumberingAfterBreak="0">
    <w:nsid w:val="109F4D3B"/>
    <w:multiLevelType w:val="multilevel"/>
    <w:tmpl w:val="08B431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73052E"/>
    <w:multiLevelType w:val="multilevel"/>
    <w:tmpl w:val="D5188D0C"/>
    <w:lvl w:ilvl="0">
      <w:start w:val="1"/>
      <w:numFmt w:val="decimal"/>
      <w:lvlText w:val="%1.0"/>
      <w:lvlJc w:val="left"/>
      <w:pPr>
        <w:ind w:left="1003" w:hanging="360"/>
      </w:pPr>
      <w:rPr>
        <w:rFonts w:hint="default"/>
      </w:rPr>
    </w:lvl>
    <w:lvl w:ilvl="1">
      <w:start w:val="1"/>
      <w:numFmt w:val="decimal"/>
      <w:lvlText w:val="%1.%2"/>
      <w:lvlJc w:val="left"/>
      <w:pPr>
        <w:ind w:left="1723" w:hanging="360"/>
      </w:pPr>
      <w:rPr>
        <w:rFonts w:hint="default"/>
      </w:rPr>
    </w:lvl>
    <w:lvl w:ilvl="2">
      <w:start w:val="1"/>
      <w:numFmt w:val="decimal"/>
      <w:lvlText w:val="%1.%2.%3"/>
      <w:lvlJc w:val="left"/>
      <w:pPr>
        <w:ind w:left="2803" w:hanging="720"/>
      </w:pPr>
      <w:rPr>
        <w:rFonts w:hint="default"/>
      </w:rPr>
    </w:lvl>
    <w:lvl w:ilvl="3">
      <w:start w:val="1"/>
      <w:numFmt w:val="decimal"/>
      <w:lvlText w:val="%1.%2.%3.%4"/>
      <w:lvlJc w:val="left"/>
      <w:pPr>
        <w:ind w:left="3883" w:hanging="1080"/>
      </w:pPr>
      <w:rPr>
        <w:rFonts w:hint="default"/>
      </w:rPr>
    </w:lvl>
    <w:lvl w:ilvl="4">
      <w:start w:val="1"/>
      <w:numFmt w:val="decimal"/>
      <w:lvlText w:val="%1.%2.%3.%4.%5"/>
      <w:lvlJc w:val="left"/>
      <w:pPr>
        <w:ind w:left="4603" w:hanging="1080"/>
      </w:pPr>
      <w:rPr>
        <w:rFonts w:hint="default"/>
      </w:rPr>
    </w:lvl>
    <w:lvl w:ilvl="5">
      <w:start w:val="1"/>
      <w:numFmt w:val="decimal"/>
      <w:lvlText w:val="%1.%2.%3.%4.%5.%6"/>
      <w:lvlJc w:val="left"/>
      <w:pPr>
        <w:ind w:left="5683"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83" w:hanging="1800"/>
      </w:pPr>
      <w:rPr>
        <w:rFonts w:hint="default"/>
      </w:rPr>
    </w:lvl>
    <w:lvl w:ilvl="8">
      <w:start w:val="1"/>
      <w:numFmt w:val="decimal"/>
      <w:lvlText w:val="%1.%2.%3.%4.%5.%6.%7.%8.%9"/>
      <w:lvlJc w:val="left"/>
      <w:pPr>
        <w:ind w:left="8203" w:hanging="1800"/>
      </w:pPr>
      <w:rPr>
        <w:rFonts w:hint="default"/>
      </w:rPr>
    </w:lvl>
  </w:abstractNum>
  <w:abstractNum w:abstractNumId="5" w15:restartNumberingAfterBreak="0">
    <w:nsid w:val="147A3397"/>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C33084"/>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960B1D"/>
    <w:multiLevelType w:val="multilevel"/>
    <w:tmpl w:val="89F88888"/>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30683B97"/>
    <w:multiLevelType w:val="hybridMultilevel"/>
    <w:tmpl w:val="C15A561A"/>
    <w:lvl w:ilvl="0" w:tplc="1009000F">
      <w:start w:val="1"/>
      <w:numFmt w:val="decimal"/>
      <w:lvlText w:val="%1."/>
      <w:lvlJc w:val="left"/>
      <w:pPr>
        <w:ind w:left="1003" w:hanging="360"/>
      </w:p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9" w15:restartNumberingAfterBreak="0">
    <w:nsid w:val="352221B4"/>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EB15C5"/>
    <w:multiLevelType w:val="hybridMultilevel"/>
    <w:tmpl w:val="9A9869C4"/>
    <w:lvl w:ilvl="0" w:tplc="1009000F">
      <w:start w:val="1"/>
      <w:numFmt w:val="decimal"/>
      <w:lvlText w:val="%1."/>
      <w:lvlJc w:val="left"/>
      <w:pPr>
        <w:ind w:left="1003" w:hanging="360"/>
      </w:p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11" w15:restartNumberingAfterBreak="0">
    <w:nsid w:val="38457354"/>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1D96C4E"/>
    <w:multiLevelType w:val="multilevel"/>
    <w:tmpl w:val="8E04BF1A"/>
    <w:lvl w:ilvl="0">
      <w:start w:val="1"/>
      <w:numFmt w:val="decimal"/>
      <w:lvlText w:val="%1.0"/>
      <w:lvlJc w:val="left"/>
      <w:pPr>
        <w:tabs>
          <w:tab w:val="num" w:pos="2610"/>
        </w:tabs>
        <w:ind w:left="261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3" w15:restartNumberingAfterBreak="0">
    <w:nsid w:val="4C8B3D4D"/>
    <w:multiLevelType w:val="multilevel"/>
    <w:tmpl w:val="C7C219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2E024F2"/>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E562E5"/>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C15990"/>
    <w:multiLevelType w:val="multilevel"/>
    <w:tmpl w:val="57DE76F0"/>
    <w:lvl w:ilvl="0">
      <w:start w:val="1"/>
      <w:numFmt w:val="decimal"/>
      <w:lvlText w:val="%1.0"/>
      <w:lvlJc w:val="left"/>
      <w:pPr>
        <w:ind w:left="972" w:hanging="405"/>
      </w:pPr>
      <w:rPr>
        <w:rFonts w:hint="default"/>
      </w:rPr>
    </w:lvl>
    <w:lvl w:ilvl="1">
      <w:start w:val="1"/>
      <w:numFmt w:val="decimal"/>
      <w:lvlText w:val="%1.%2"/>
      <w:lvlJc w:val="left"/>
      <w:pPr>
        <w:ind w:left="1692" w:hanging="405"/>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17" w15:restartNumberingAfterBreak="0">
    <w:nsid w:val="585450F3"/>
    <w:multiLevelType w:val="multilevel"/>
    <w:tmpl w:val="66B82F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8613962"/>
    <w:multiLevelType w:val="multilevel"/>
    <w:tmpl w:val="D6AE6E10"/>
    <w:lvl w:ilvl="0">
      <w:start w:val="1"/>
      <w:numFmt w:val="decimal"/>
      <w:lvlText w:val="%1.0"/>
      <w:lvlJc w:val="left"/>
      <w:pPr>
        <w:ind w:left="720" w:hanging="720"/>
      </w:pPr>
      <w:rPr>
        <w:rFonts w:hint="default"/>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39A44A8"/>
    <w:multiLevelType w:val="multilevel"/>
    <w:tmpl w:val="72386B84"/>
    <w:lvl w:ilvl="0">
      <w:start w:val="1"/>
      <w:numFmt w:val="decimal"/>
      <w:lvlText w:val="%1.0"/>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66C1C0D"/>
    <w:multiLevelType w:val="multilevel"/>
    <w:tmpl w:val="08B431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9C7670"/>
    <w:multiLevelType w:val="multilevel"/>
    <w:tmpl w:val="D6AE6E10"/>
    <w:lvl w:ilvl="0">
      <w:start w:val="1"/>
      <w:numFmt w:val="decimal"/>
      <w:lvlText w:val="%1.0"/>
      <w:lvlJc w:val="left"/>
      <w:pPr>
        <w:ind w:left="720" w:hanging="720"/>
      </w:pPr>
      <w:rPr>
        <w:rFonts w:hint="default"/>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AD1027"/>
    <w:multiLevelType w:val="hybridMultilevel"/>
    <w:tmpl w:val="B1E677F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760A241F"/>
    <w:multiLevelType w:val="multilevel"/>
    <w:tmpl w:val="D6AE6E10"/>
    <w:lvl w:ilvl="0">
      <w:start w:val="1"/>
      <w:numFmt w:val="decimal"/>
      <w:lvlText w:val="%1.0"/>
      <w:lvlJc w:val="left"/>
      <w:pPr>
        <w:ind w:left="720" w:hanging="720"/>
      </w:pPr>
      <w:rPr>
        <w:rFonts w:hint="default"/>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FDD182E"/>
    <w:multiLevelType w:val="multilevel"/>
    <w:tmpl w:val="A684C8E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767194255">
    <w:abstractNumId w:val="18"/>
  </w:num>
  <w:num w:numId="2" w16cid:durableId="1654066887">
    <w:abstractNumId w:val="7"/>
  </w:num>
  <w:num w:numId="3" w16cid:durableId="140274764">
    <w:abstractNumId w:val="23"/>
  </w:num>
  <w:num w:numId="4" w16cid:durableId="38164145">
    <w:abstractNumId w:val="1"/>
  </w:num>
  <w:num w:numId="5" w16cid:durableId="1518348864">
    <w:abstractNumId w:val="12"/>
  </w:num>
  <w:num w:numId="6" w16cid:durableId="515971282">
    <w:abstractNumId w:val="21"/>
  </w:num>
  <w:num w:numId="7" w16cid:durableId="817577545">
    <w:abstractNumId w:val="8"/>
  </w:num>
  <w:num w:numId="8" w16cid:durableId="942690128">
    <w:abstractNumId w:val="22"/>
  </w:num>
  <w:num w:numId="9" w16cid:durableId="879131889">
    <w:abstractNumId w:val="16"/>
  </w:num>
  <w:num w:numId="10" w16cid:durableId="1451826044">
    <w:abstractNumId w:val="2"/>
  </w:num>
  <w:num w:numId="11" w16cid:durableId="1680961547">
    <w:abstractNumId w:val="10"/>
  </w:num>
  <w:num w:numId="12" w16cid:durableId="1284264377">
    <w:abstractNumId w:val="4"/>
  </w:num>
  <w:num w:numId="13" w16cid:durableId="1959601808">
    <w:abstractNumId w:val="3"/>
  </w:num>
  <w:num w:numId="14" w16cid:durableId="2044746566">
    <w:abstractNumId w:val="20"/>
  </w:num>
  <w:num w:numId="15" w16cid:durableId="149641010">
    <w:abstractNumId w:val="19"/>
  </w:num>
  <w:num w:numId="16" w16cid:durableId="1912542164">
    <w:abstractNumId w:val="24"/>
  </w:num>
  <w:num w:numId="17" w16cid:durableId="752778445">
    <w:abstractNumId w:val="17"/>
  </w:num>
  <w:num w:numId="18" w16cid:durableId="1899976050">
    <w:abstractNumId w:val="11"/>
  </w:num>
  <w:num w:numId="19" w16cid:durableId="1342661982">
    <w:abstractNumId w:val="13"/>
  </w:num>
  <w:num w:numId="20" w16cid:durableId="378478760">
    <w:abstractNumId w:val="0"/>
  </w:num>
  <w:num w:numId="21" w16cid:durableId="1646470686">
    <w:abstractNumId w:val="6"/>
  </w:num>
  <w:num w:numId="22" w16cid:durableId="367335049">
    <w:abstractNumId w:val="9"/>
  </w:num>
  <w:num w:numId="23" w16cid:durableId="947273633">
    <w:abstractNumId w:val="14"/>
  </w:num>
  <w:num w:numId="24" w16cid:durableId="1914898120">
    <w:abstractNumId w:val="15"/>
  </w:num>
  <w:num w:numId="25" w16cid:durableId="3428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9C"/>
    <w:rsid w:val="003F3051"/>
    <w:rsid w:val="0041619C"/>
    <w:rsid w:val="00877900"/>
    <w:rsid w:val="008A605D"/>
    <w:rsid w:val="00CA5E50"/>
    <w:rsid w:val="00E8411D"/>
    <w:rsid w:val="00E97613"/>
    <w:rsid w:val="00FD67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A052"/>
  <w15:chartTrackingRefBased/>
  <w15:docId w15:val="{D2CF0A56-E72D-40E3-9D5B-AB194DF8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9C"/>
    <w:pPr>
      <w:spacing w:after="5" w:line="250" w:lineRule="auto"/>
      <w:ind w:left="1140" w:right="354" w:hanging="10"/>
      <w:jc w:val="both"/>
    </w:pPr>
    <w:rPr>
      <w:rFonts w:ascii="Arial" w:eastAsia="Arial" w:hAnsi="Arial" w:cs="Arial"/>
      <w:color w:val="000000"/>
      <w:kern w:val="0"/>
      <w:szCs w:val="22"/>
      <w:lang w:eastAsia="en-CA"/>
      <w14:ligatures w14:val="none"/>
    </w:rPr>
  </w:style>
  <w:style w:type="paragraph" w:styleId="Heading1">
    <w:name w:val="heading 1"/>
    <w:basedOn w:val="Normal"/>
    <w:next w:val="Normal"/>
    <w:link w:val="Heading1Char"/>
    <w:uiPriority w:val="9"/>
    <w:qFormat/>
    <w:rsid w:val="00416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19C"/>
    <w:rPr>
      <w:rFonts w:eastAsiaTheme="majorEastAsia" w:cstheme="majorBidi"/>
      <w:color w:val="272727" w:themeColor="text1" w:themeTint="D8"/>
    </w:rPr>
  </w:style>
  <w:style w:type="paragraph" w:styleId="Title">
    <w:name w:val="Title"/>
    <w:basedOn w:val="Normal"/>
    <w:next w:val="Normal"/>
    <w:link w:val="TitleChar"/>
    <w:uiPriority w:val="10"/>
    <w:qFormat/>
    <w:rsid w:val="0041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19C"/>
    <w:pPr>
      <w:spacing w:before="160"/>
      <w:jc w:val="center"/>
    </w:pPr>
    <w:rPr>
      <w:i/>
      <w:iCs/>
      <w:color w:val="404040" w:themeColor="text1" w:themeTint="BF"/>
    </w:rPr>
  </w:style>
  <w:style w:type="character" w:customStyle="1" w:styleId="QuoteChar">
    <w:name w:val="Quote Char"/>
    <w:basedOn w:val="DefaultParagraphFont"/>
    <w:link w:val="Quote"/>
    <w:uiPriority w:val="29"/>
    <w:rsid w:val="0041619C"/>
    <w:rPr>
      <w:i/>
      <w:iCs/>
      <w:color w:val="404040" w:themeColor="text1" w:themeTint="BF"/>
    </w:rPr>
  </w:style>
  <w:style w:type="paragraph" w:styleId="ListParagraph">
    <w:name w:val="List Paragraph"/>
    <w:basedOn w:val="Normal"/>
    <w:uiPriority w:val="34"/>
    <w:qFormat/>
    <w:rsid w:val="0041619C"/>
    <w:pPr>
      <w:ind w:left="720"/>
      <w:contextualSpacing/>
    </w:pPr>
  </w:style>
  <w:style w:type="character" w:styleId="IntenseEmphasis">
    <w:name w:val="Intense Emphasis"/>
    <w:basedOn w:val="DefaultParagraphFont"/>
    <w:uiPriority w:val="21"/>
    <w:qFormat/>
    <w:rsid w:val="0041619C"/>
    <w:rPr>
      <w:i/>
      <w:iCs/>
      <w:color w:val="0F4761" w:themeColor="accent1" w:themeShade="BF"/>
    </w:rPr>
  </w:style>
  <w:style w:type="paragraph" w:styleId="IntenseQuote">
    <w:name w:val="Intense Quote"/>
    <w:basedOn w:val="Normal"/>
    <w:next w:val="Normal"/>
    <w:link w:val="IntenseQuoteChar"/>
    <w:uiPriority w:val="30"/>
    <w:qFormat/>
    <w:rsid w:val="00416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19C"/>
    <w:rPr>
      <w:i/>
      <w:iCs/>
      <w:color w:val="0F4761" w:themeColor="accent1" w:themeShade="BF"/>
    </w:rPr>
  </w:style>
  <w:style w:type="character" w:styleId="IntenseReference">
    <w:name w:val="Intense Reference"/>
    <w:basedOn w:val="DefaultParagraphFont"/>
    <w:uiPriority w:val="32"/>
    <w:qFormat/>
    <w:rsid w:val="0041619C"/>
    <w:rPr>
      <w:b/>
      <w:bCs/>
      <w:smallCaps/>
      <w:color w:val="0F4761" w:themeColor="accent1" w:themeShade="BF"/>
      <w:spacing w:val="5"/>
    </w:rPr>
  </w:style>
  <w:style w:type="table" w:styleId="TableGrid">
    <w:name w:val="Table Grid"/>
    <w:basedOn w:val="TableNormal"/>
    <w:uiPriority w:val="39"/>
    <w:rsid w:val="003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00"/>
    <w:rPr>
      <w:rFonts w:ascii="Arial" w:eastAsia="Arial" w:hAnsi="Arial" w:cs="Arial"/>
      <w:color w:val="000000"/>
      <w:kern w:val="0"/>
      <w:szCs w:val="22"/>
      <w:lang w:eastAsia="en-CA"/>
      <w14:ligatures w14:val="none"/>
    </w:rPr>
  </w:style>
  <w:style w:type="paragraph" w:styleId="Footer">
    <w:name w:val="footer"/>
    <w:basedOn w:val="Normal"/>
    <w:link w:val="FooterChar"/>
    <w:uiPriority w:val="99"/>
    <w:unhideWhenUsed/>
    <w:rsid w:val="0087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00"/>
    <w:rPr>
      <w:rFonts w:ascii="Arial" w:eastAsia="Arial" w:hAnsi="Arial" w:cs="Arial"/>
      <w:color w:val="000000"/>
      <w:kern w:val="0"/>
      <w:szCs w:val="22"/>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Patrick</dc:creator>
  <cp:keywords/>
  <dc:description/>
  <cp:lastModifiedBy>Montana Patrick</cp:lastModifiedBy>
  <cp:revision>1</cp:revision>
  <cp:lastPrinted>2025-12-15T20:31:00Z</cp:lastPrinted>
  <dcterms:created xsi:type="dcterms:W3CDTF">2025-12-15T19:42:00Z</dcterms:created>
  <dcterms:modified xsi:type="dcterms:W3CDTF">2025-12-15T20:31:00Z</dcterms:modified>
</cp:coreProperties>
</file>